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92A58" w14:textId="3295D670" w:rsidR="00AB67D3" w:rsidRPr="00FE68F3" w:rsidRDefault="00AB67D3" w:rsidP="00AB67D3">
      <w:pPr>
        <w:rPr>
          <w:rFonts w:ascii="Arial" w:hAnsi="Arial" w:cs="Arial"/>
          <w:b/>
          <w:bCs/>
        </w:rPr>
      </w:pPr>
      <w:r w:rsidRPr="00FE68F3">
        <w:rPr>
          <w:rFonts w:ascii="Arial" w:hAnsi="Arial" w:cs="Arial"/>
          <w:b/>
          <w:bCs/>
        </w:rPr>
        <w:t>Switch - typ I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I</w:t>
      </w:r>
    </w:p>
    <w:p w14:paraId="653A4822" w14:textId="77777777" w:rsidR="00AB67D3" w:rsidRDefault="00AB67D3" w:rsidP="00AB67D3">
      <w:pPr>
        <w:jc w:val="both"/>
        <w:rPr>
          <w:rFonts w:ascii="Arial" w:hAnsi="Arial" w:cs="Arial"/>
          <w:b/>
          <w:bCs/>
        </w:rPr>
      </w:pPr>
      <w:r w:rsidRPr="00F43596">
        <w:rPr>
          <w:rFonts w:ascii="Arial" w:hAnsi="Arial" w:cs="Arial"/>
          <w:b/>
          <w:bCs/>
        </w:rPr>
        <w:t>Zadavatelem vymezené kapacitní, kvalitativní a technické parametry a požadavky na předmět zakázky stejně jako hodnoty uvedené u těchto parametrů jsou stanoveny jako minimální přípustné. Účastníci proto mohou nabídnout zařízení, která budou disponovat lepšími parametry a vlastnostmi u funkcionalit zadavatelem požadovaných.</w:t>
      </w:r>
    </w:p>
    <w:p w14:paraId="07EE3C36" w14:textId="77777777" w:rsidR="00AB67D3" w:rsidRDefault="00AB67D3" w:rsidP="00AB67D3">
      <w:pPr>
        <w:rPr>
          <w:rFonts w:ascii="Arial" w:hAnsi="Arial" w:cs="Arial"/>
          <w:b/>
          <w:bCs/>
        </w:rPr>
      </w:pPr>
      <w:r w:rsidRPr="00257185">
        <w:rPr>
          <w:rFonts w:ascii="Arial" w:hAnsi="Arial" w:cs="Arial"/>
          <w:b/>
          <w:bCs/>
        </w:rPr>
        <w:t>Dodavatel doplní „ano“, pokud technický požadavek splňuje, případně „ne“, pokud jej nesplňuje.</w:t>
      </w: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1621"/>
        <w:gridCol w:w="1261"/>
      </w:tblGrid>
      <w:tr w:rsidR="009E2C80" w:rsidRPr="005330C7" w14:paraId="077F7A72" w14:textId="77777777" w:rsidTr="00FE2A8D">
        <w:trPr>
          <w:trHeight w:val="288"/>
          <w:jc w:val="center"/>
        </w:trPr>
        <w:tc>
          <w:tcPr>
            <w:tcW w:w="3654" w:type="pct"/>
            <w:shd w:val="clear" w:color="000000" w:fill="C0C0C0"/>
            <w:vAlign w:val="center"/>
            <w:hideMark/>
          </w:tcPr>
          <w:p w14:paraId="631456FE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757" w:type="pct"/>
            <w:shd w:val="clear" w:color="000000" w:fill="C0C0C0"/>
            <w:vAlign w:val="center"/>
            <w:hideMark/>
          </w:tcPr>
          <w:p w14:paraId="1E5A2DBC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89" w:type="pct"/>
            <w:shd w:val="clear" w:color="000000" w:fill="C0C0C0"/>
            <w:vAlign w:val="center"/>
            <w:hideMark/>
          </w:tcPr>
          <w:p w14:paraId="04994883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9E2C80" w:rsidRPr="005330C7" w14:paraId="655DCEA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0892B60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757" w:type="pct"/>
            <w:vAlign w:val="bottom"/>
            <w:hideMark/>
          </w:tcPr>
          <w:p w14:paraId="6951D20C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  <w:hideMark/>
          </w:tcPr>
          <w:p w14:paraId="02F3FDD7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E2C80" w:rsidRPr="005330C7" w14:paraId="2A6555A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ACE1405" w14:textId="7E2F7EB4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757" w:type="pct"/>
            <w:vAlign w:val="bottom"/>
            <w:hideMark/>
          </w:tcPr>
          <w:p w14:paraId="2EE2E081" w14:textId="139135BD" w:rsidR="005833A4" w:rsidRPr="005330C7" w:rsidRDefault="00C66E5F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="005833A4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89" w:type="pct"/>
            <w:noWrap/>
            <w:vAlign w:val="center"/>
            <w:hideMark/>
          </w:tcPr>
          <w:p w14:paraId="50CB82CA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E2C80" w:rsidRPr="005330C7" w14:paraId="78C2332D" w14:textId="77777777" w:rsidTr="00FE2A8D">
        <w:trPr>
          <w:trHeight w:val="287"/>
          <w:jc w:val="center"/>
        </w:trPr>
        <w:tc>
          <w:tcPr>
            <w:tcW w:w="3654" w:type="pct"/>
            <w:vAlign w:val="bottom"/>
          </w:tcPr>
          <w:p w14:paraId="1546DF58" w14:textId="5EB2F3B1" w:rsidR="00DC6495" w:rsidRPr="005330C7" w:rsidRDefault="00DC6495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757" w:type="pct"/>
            <w:vAlign w:val="bottom"/>
          </w:tcPr>
          <w:p w14:paraId="5AF2E744" w14:textId="2D4A82D1" w:rsidR="005833A4" w:rsidRPr="005330C7" w:rsidRDefault="00C66E5F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="005833A4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89" w:type="pct"/>
            <w:noWrap/>
            <w:vAlign w:val="center"/>
          </w:tcPr>
          <w:p w14:paraId="339F13AA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C66E5F" w:rsidRPr="005330C7" w14:paraId="723799A6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0544DFA" w14:textId="6E5FABCB" w:rsidR="00C66E5F" w:rsidRPr="005330C7" w:rsidRDefault="00C66E5F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Počet 10/100/1000Mbit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</w:t>
            </w:r>
            <w:r w:rsidR="00235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r w:rsidR="00235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12x RJ45</w:t>
            </w:r>
          </w:p>
        </w:tc>
        <w:tc>
          <w:tcPr>
            <w:tcW w:w="757" w:type="pct"/>
            <w:vAlign w:val="bottom"/>
          </w:tcPr>
          <w:p w14:paraId="0D403A87" w14:textId="07153BB8" w:rsidR="00FE3D74" w:rsidRPr="005330C7" w:rsidRDefault="00235170" w:rsidP="00B43D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4120430" w14:textId="54A0C940" w:rsidR="00FE3D74" w:rsidRPr="005330C7" w:rsidRDefault="00FE3D74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7DD2876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2D474C1" w14:textId="05498F09" w:rsidR="009872E6" w:rsidRPr="009872E6" w:rsidRDefault="009872E6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Počet 1000Mbit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uplink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</w:t>
            </w:r>
            <w:r w:rsidR="00235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r w:rsidR="00235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2x RJ45</w:t>
            </w:r>
          </w:p>
        </w:tc>
        <w:tc>
          <w:tcPr>
            <w:tcW w:w="757" w:type="pct"/>
            <w:vAlign w:val="bottom"/>
          </w:tcPr>
          <w:p w14:paraId="3B8FE109" w14:textId="0822C339" w:rsidR="009872E6" w:rsidRPr="005330C7" w:rsidRDefault="00235170" w:rsidP="00B43D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9B8F6B4" w14:textId="38A8042D" w:rsidR="009872E6" w:rsidRPr="005330C7" w:rsidRDefault="009872E6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75DE2C4B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02FD0B28" w14:textId="0861E5AF" w:rsidR="00954FCE" w:rsidRPr="005330C7" w:rsidRDefault="00F71D2C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</w:t>
            </w:r>
            <w:r w:rsidR="00954FCE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očet 10Gbit/s SFP+ nezávislých optických portů s volitelným fyzickým rozhraním</w:t>
            </w:r>
            <w:r w:rsidR="00235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: </w:t>
            </w:r>
            <w:r w:rsidR="00235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2x SFP+</w:t>
            </w:r>
          </w:p>
        </w:tc>
        <w:tc>
          <w:tcPr>
            <w:tcW w:w="757" w:type="pct"/>
            <w:vAlign w:val="bottom"/>
          </w:tcPr>
          <w:p w14:paraId="40A19C8D" w14:textId="06FB91D0" w:rsidR="00FE3D74" w:rsidRPr="005330C7" w:rsidRDefault="00235170" w:rsidP="00FE3D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FFAEB6" w14:textId="4C69170B" w:rsidR="00954FCE" w:rsidRPr="00FE3D74" w:rsidRDefault="00954FCE" w:rsidP="00FE3D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77C7217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7563194" w14:textId="0C506A7F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Interní AC napájecí zdroj</w:t>
            </w:r>
          </w:p>
        </w:tc>
        <w:tc>
          <w:tcPr>
            <w:tcW w:w="757" w:type="pct"/>
            <w:vAlign w:val="bottom"/>
          </w:tcPr>
          <w:p w14:paraId="70B8F02D" w14:textId="77777777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1E2E065" w14:textId="77777777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D13D88" w:rsidRPr="005330C7" w14:paraId="70AA55B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D3B9AE9" w14:textId="3D8B9E9D" w:rsidR="00D13D88" w:rsidRPr="005330C7" w:rsidRDefault="00D13D88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Pasivní chlazení (fanless)</w:t>
            </w:r>
          </w:p>
        </w:tc>
        <w:tc>
          <w:tcPr>
            <w:tcW w:w="757" w:type="pct"/>
            <w:vAlign w:val="bottom"/>
          </w:tcPr>
          <w:p w14:paraId="52B2B98E" w14:textId="5192882D" w:rsidR="00D13D88" w:rsidRPr="005330C7" w:rsidRDefault="00D13D88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D855F6B" w14:textId="7C1586F1" w:rsidR="00D13D88" w:rsidRPr="00D13D88" w:rsidRDefault="00D13D88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57BAF1C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C81569" w14:textId="77777777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PoE přes kabely Cat3</w:t>
            </w:r>
          </w:p>
        </w:tc>
        <w:tc>
          <w:tcPr>
            <w:tcW w:w="757" w:type="pct"/>
            <w:vAlign w:val="bottom"/>
          </w:tcPr>
          <w:p w14:paraId="245D46EF" w14:textId="1C5C6CB8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9771059" w14:textId="0DE464B5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16922EE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6D13FB3" w14:textId="77777777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PoE+ dle standardu 802.3at</w:t>
            </w:r>
          </w:p>
        </w:tc>
        <w:tc>
          <w:tcPr>
            <w:tcW w:w="757" w:type="pct"/>
            <w:vAlign w:val="bottom"/>
          </w:tcPr>
          <w:p w14:paraId="179313C8" w14:textId="77777777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6AA6EB" w14:textId="77777777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7FD2829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11D5FB6" w14:textId="095CC1E4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Dostupný výkon pro PoE+ napájení</w:t>
            </w:r>
            <w:r w:rsidR="00C66E5F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: </w:t>
            </w:r>
            <w:r w:rsidR="007B5EF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139 W</w:t>
            </w:r>
          </w:p>
        </w:tc>
        <w:tc>
          <w:tcPr>
            <w:tcW w:w="757" w:type="pct"/>
            <w:vAlign w:val="bottom"/>
          </w:tcPr>
          <w:p w14:paraId="55607105" w14:textId="450A2D4E" w:rsidR="001F2E35" w:rsidRPr="005330C7" w:rsidRDefault="007B5EFC" w:rsidP="007B5EF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FDCAC7F" w14:textId="52F34C31" w:rsidR="001F2E35" w:rsidRPr="005330C7" w:rsidRDefault="001F2E35" w:rsidP="007B5EF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18CF86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7484478" w14:textId="04972B73" w:rsidR="00F71D2C" w:rsidRPr="005330C7" w:rsidRDefault="00C6510E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Perpetual a Fast PoE</w:t>
            </w:r>
          </w:p>
        </w:tc>
        <w:tc>
          <w:tcPr>
            <w:tcW w:w="757" w:type="pct"/>
            <w:vAlign w:val="bottom"/>
          </w:tcPr>
          <w:p w14:paraId="1A777342" w14:textId="59A7714D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38D5F46" w14:textId="3278D012" w:rsidR="00F71D2C" w:rsidRPr="005330C7" w:rsidRDefault="00F71D2C" w:rsidP="00C651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592D20F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71481F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Energy Efficient Ethernet (802.3az)</w:t>
            </w:r>
          </w:p>
        </w:tc>
        <w:tc>
          <w:tcPr>
            <w:tcW w:w="757" w:type="pct"/>
            <w:vAlign w:val="bottom"/>
          </w:tcPr>
          <w:p w14:paraId="78C9E937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504EE0B" w14:textId="77777777" w:rsidR="00F71D2C" w:rsidRPr="005330C7" w:rsidRDefault="00F71D2C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9D735D3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2BBB0CA" w14:textId="18336FF4" w:rsidR="00F71D2C" w:rsidRPr="005330C7" w:rsidRDefault="00F71D2C" w:rsidP="007B5EF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:</w:t>
            </w:r>
            <w:r w:rsidR="007B5EF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68 Gbps</w:t>
            </w:r>
          </w:p>
        </w:tc>
        <w:tc>
          <w:tcPr>
            <w:tcW w:w="757" w:type="pct"/>
            <w:vAlign w:val="bottom"/>
            <w:hideMark/>
          </w:tcPr>
          <w:p w14:paraId="4AB0159A" w14:textId="0BC64C6C" w:rsidR="00F71D2C" w:rsidRPr="005330C7" w:rsidRDefault="007B5EFC" w:rsidP="007B5EF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60398604" w14:textId="1AEB6042" w:rsidR="001F2E35" w:rsidRPr="001F2E35" w:rsidRDefault="001F2E35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655341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8A465CD" w14:textId="01A8031D" w:rsidR="00F71D2C" w:rsidRPr="007B5EFC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paketový výkon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:</w:t>
            </w:r>
            <w:r w:rsidR="007B5EF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 xml:space="preserve"> </w:t>
            </w:r>
            <w:r w:rsidR="007B5EFC" w:rsidRPr="001F2E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45 Mpps</w:t>
            </w:r>
          </w:p>
        </w:tc>
        <w:tc>
          <w:tcPr>
            <w:tcW w:w="757" w:type="pct"/>
            <w:vAlign w:val="bottom"/>
          </w:tcPr>
          <w:p w14:paraId="4C5B3318" w14:textId="5DC244A4" w:rsidR="001F2E35" w:rsidRPr="005330C7" w:rsidRDefault="007B5EF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1C3F9DB" w14:textId="085AAA14" w:rsidR="001F2E35" w:rsidRPr="005330C7" w:rsidRDefault="001F2E35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F71D2C" w:rsidRPr="005330C7" w14:paraId="5ADA0E0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DBCB8B6" w14:textId="65624E4F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757" w:type="pct"/>
            <w:vAlign w:val="bottom"/>
          </w:tcPr>
          <w:p w14:paraId="4C071434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69EF2E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1D0496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A5897D3" w14:textId="06349D5B" w:rsidR="004466CD" w:rsidRPr="007B5EFC" w:rsidRDefault="00F71D2C" w:rsidP="007B5EF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hloubka přepínače</w:t>
            </w:r>
            <w:r w:rsidR="007B5EF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: 31 cm</w:t>
            </w:r>
          </w:p>
        </w:tc>
        <w:tc>
          <w:tcPr>
            <w:tcW w:w="757" w:type="pct"/>
            <w:vAlign w:val="bottom"/>
          </w:tcPr>
          <w:p w14:paraId="33C57AD4" w14:textId="2B4562EB" w:rsidR="004466CD" w:rsidRPr="005330C7" w:rsidRDefault="007B5EF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A05F68D" w14:textId="1FF09DA6" w:rsidR="004466CD" w:rsidRPr="004466CD" w:rsidRDefault="004466CD" w:rsidP="004466C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FF2A0A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E9CC783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757" w:type="pct"/>
            <w:vAlign w:val="bottom"/>
          </w:tcPr>
          <w:p w14:paraId="5F9ED749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</w:tcPr>
          <w:p w14:paraId="6BB5FE8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76894C2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A098985" w14:textId="45526A01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757" w:type="pct"/>
            <w:vAlign w:val="bottom"/>
          </w:tcPr>
          <w:p w14:paraId="3AED9A45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844129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6F41613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C3B10DE" w14:textId="1985F9FF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Kapacita stohovacího propojení</w:t>
            </w:r>
            <w:r w:rsidR="007B5EFC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: 20 Gbps</w:t>
            </w:r>
          </w:p>
        </w:tc>
        <w:tc>
          <w:tcPr>
            <w:tcW w:w="757" w:type="pct"/>
            <w:vAlign w:val="bottom"/>
          </w:tcPr>
          <w:p w14:paraId="5102DE01" w14:textId="25BA81CD" w:rsidR="001F2E35" w:rsidRPr="005330C7" w:rsidRDefault="007B5EFC" w:rsidP="007B5EF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0B9F88" w14:textId="6CDCBFB2" w:rsidR="001F2E35" w:rsidRPr="005330C7" w:rsidRDefault="001F2E35" w:rsidP="001F2E3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74A10A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CFF9F8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757" w:type="pct"/>
            <w:vAlign w:val="bottom"/>
          </w:tcPr>
          <w:p w14:paraId="05971872" w14:textId="71C46E62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</w:t>
            </w:r>
            <w:r w:rsidR="009D63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589" w:type="pct"/>
            <w:noWrap/>
            <w:vAlign w:val="center"/>
          </w:tcPr>
          <w:p w14:paraId="10917534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F5EF2A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F6E8CF3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stohu na delší vzdálenost minimálně 100m</w:t>
            </w:r>
          </w:p>
        </w:tc>
        <w:tc>
          <w:tcPr>
            <w:tcW w:w="757" w:type="pct"/>
            <w:vAlign w:val="bottom"/>
          </w:tcPr>
          <w:p w14:paraId="3F22006C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677074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6D373B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890C66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757" w:type="pct"/>
            <w:vAlign w:val="bottom"/>
          </w:tcPr>
          <w:p w14:paraId="5518BC2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F80B3A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5F2B9FB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0BA79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757" w:type="pct"/>
            <w:vAlign w:val="bottom"/>
          </w:tcPr>
          <w:p w14:paraId="7F296A2D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2DB3921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654B40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79A617B" w14:textId="731C3376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757" w:type="pct"/>
            <w:vAlign w:val="bottom"/>
          </w:tcPr>
          <w:p w14:paraId="689A8226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A7FDD2D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0C92059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51015D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757" w:type="pct"/>
            <w:vAlign w:val="bottom"/>
          </w:tcPr>
          <w:p w14:paraId="752368D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A7B0595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1245C9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7A205D" w14:textId="43D04982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757" w:type="pct"/>
            <w:vAlign w:val="bottom"/>
            <w:hideMark/>
          </w:tcPr>
          <w:p w14:paraId="6B387C0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  <w:hideMark/>
          </w:tcPr>
          <w:p w14:paraId="70FC10F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23844F1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B015DAE" w14:textId="4C16EA9C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757" w:type="pct"/>
            <w:vAlign w:val="bottom"/>
          </w:tcPr>
          <w:p w14:paraId="3E73BEF8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971F300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7070B1E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5DA39F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757" w:type="pct"/>
            <w:vAlign w:val="bottom"/>
            <w:hideMark/>
          </w:tcPr>
          <w:p w14:paraId="3FEF4739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598C24E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59C416C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658153" w14:textId="29864233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757" w:type="pct"/>
            <w:vAlign w:val="bottom"/>
          </w:tcPr>
          <w:p w14:paraId="071F0C9F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33DD7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872E6" w:rsidRPr="005330C7" w14:paraId="70CD6B8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FB5DCB1" w14:textId="6FD2492D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LACP skupin/linek ve skupině: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16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/8</w:t>
            </w:r>
          </w:p>
        </w:tc>
        <w:tc>
          <w:tcPr>
            <w:tcW w:w="757" w:type="pct"/>
            <w:vAlign w:val="bottom"/>
          </w:tcPr>
          <w:p w14:paraId="3EE03F8D" w14:textId="4096466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BF2E87A" w14:textId="7A59DA2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5561E8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2999019" w14:textId="0C19E262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LACP Fallback (např. pro PXE boot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757" w:type="pct"/>
            <w:vAlign w:val="bottom"/>
          </w:tcPr>
          <w:p w14:paraId="4839E5EC" w14:textId="7C6C42DA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0367C94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CA300D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3F8FD50" w14:textId="688F52C1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záznamů v tabulce MAC adres: 32 000</w:t>
            </w:r>
          </w:p>
        </w:tc>
        <w:tc>
          <w:tcPr>
            <w:tcW w:w="757" w:type="pct"/>
            <w:vAlign w:val="bottom"/>
          </w:tcPr>
          <w:p w14:paraId="021AA156" w14:textId="7777777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2AC075B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ED0650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464B764" w14:textId="6F4E6A0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757" w:type="pct"/>
            <w:vAlign w:val="bottom"/>
          </w:tcPr>
          <w:p w14:paraId="26DC2509" w14:textId="7777777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6859C77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9E2CA7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BC0E204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757" w:type="pct"/>
            <w:vAlign w:val="bottom"/>
          </w:tcPr>
          <w:p w14:paraId="01AB5B78" w14:textId="7777777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5E0BDEC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FF4CC1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C7E563A" w14:textId="0CB468B8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hAnsiTheme="minorHAnsi" w:cstheme="minorHAnsi"/>
                <w:sz w:val="20"/>
                <w:szCs w:val="20"/>
              </w:rPr>
              <w:t>Minimálně 2000 aktivních VLAN podle IEEE 802.1Q</w:t>
            </w:r>
          </w:p>
        </w:tc>
        <w:tc>
          <w:tcPr>
            <w:tcW w:w="757" w:type="pct"/>
            <w:vAlign w:val="bottom"/>
            <w:hideMark/>
          </w:tcPr>
          <w:p w14:paraId="25BED9D8" w14:textId="7777777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25B80717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872E6" w:rsidRPr="005330C7" w14:paraId="624EB49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D489DA" w14:textId="00728BD4" w:rsidR="009872E6" w:rsidRPr="005330C7" w:rsidRDefault="009872E6" w:rsidP="009872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30C7">
              <w:rPr>
                <w:rFonts w:asciiTheme="minorHAnsi" w:hAnsiTheme="minorHAnsi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757" w:type="pct"/>
            <w:vAlign w:val="bottom"/>
          </w:tcPr>
          <w:p w14:paraId="19B969CE" w14:textId="3B6A3048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91CD61B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41099E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D46FDFB" w14:textId="6295EB7B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VLAN translace - swap 802.1Q tagů na trunk portu</w:t>
            </w:r>
          </w:p>
        </w:tc>
        <w:tc>
          <w:tcPr>
            <w:tcW w:w="757" w:type="pct"/>
            <w:vAlign w:val="bottom"/>
          </w:tcPr>
          <w:p w14:paraId="778A354F" w14:textId="7777777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C2C2192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54570C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BED3824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lastRenderedPageBreak/>
              <w:t>Podpora zařazování do VLAN podle standardu 802.1v</w:t>
            </w:r>
          </w:p>
        </w:tc>
        <w:tc>
          <w:tcPr>
            <w:tcW w:w="757" w:type="pct"/>
            <w:vAlign w:val="bottom"/>
          </w:tcPr>
          <w:p w14:paraId="368F9545" w14:textId="77777777" w:rsidR="009872E6" w:rsidRPr="005330C7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D5E49E3" w14:textId="77777777" w:rsidR="009872E6" w:rsidRPr="005330C7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2C631C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404E1BB" w14:textId="1A4F9CAF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Private VLAN včetně primary, secondary a community VLAN</w:t>
            </w:r>
          </w:p>
        </w:tc>
        <w:tc>
          <w:tcPr>
            <w:tcW w:w="757" w:type="pct"/>
            <w:vAlign w:val="bottom"/>
          </w:tcPr>
          <w:p w14:paraId="3A548F70" w14:textId="7B3A9FCA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90F809F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AFD31A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12DFCA1" w14:textId="19D04E18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VLAN-group pro rozkládání klientů přes více VLAN ID</w:t>
            </w:r>
          </w:p>
        </w:tc>
        <w:tc>
          <w:tcPr>
            <w:tcW w:w="757" w:type="pct"/>
            <w:vAlign w:val="bottom"/>
          </w:tcPr>
          <w:p w14:paraId="6C417C36" w14:textId="6750AC28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74707A6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B4FF72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75BE76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IEEE 802.1s - Multiple Spanning Tree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757" w:type="pct"/>
            <w:vAlign w:val="bottom"/>
          </w:tcPr>
          <w:p w14:paraId="0BC984CF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CF8AE9F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1A2129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5C99ADD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STP instance per VLAN s 802.1Q tagováním BPDU (např. PVST+)</w:t>
            </w:r>
          </w:p>
        </w:tc>
        <w:tc>
          <w:tcPr>
            <w:tcW w:w="757" w:type="pct"/>
            <w:vAlign w:val="bottom"/>
          </w:tcPr>
          <w:p w14:paraId="6246E853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54BA266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22839B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2890BE0" w14:textId="5F1C444C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Detekce protilehlého zařízení pomocí LLDP, včetně LLDP over OoB management port</w:t>
            </w:r>
          </w:p>
        </w:tc>
        <w:tc>
          <w:tcPr>
            <w:tcW w:w="757" w:type="pct"/>
            <w:vAlign w:val="bottom"/>
            <w:hideMark/>
          </w:tcPr>
          <w:p w14:paraId="0E997768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30867AF8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872E6" w:rsidRPr="005330C7" w14:paraId="6BC8EFC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2A33339" w14:textId="68800C13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757" w:type="pct"/>
            <w:vAlign w:val="bottom"/>
          </w:tcPr>
          <w:p w14:paraId="49F0BC44" w14:textId="44B94C5A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3735D24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85875B6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C39D440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757" w:type="pct"/>
            <w:vAlign w:val="bottom"/>
          </w:tcPr>
          <w:p w14:paraId="619087BF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B484D4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16A1C3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4A87F8A" w14:textId="70A03F4F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DHCP server a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relay pro IPv4 a IPv6</w:t>
            </w:r>
          </w:p>
        </w:tc>
        <w:tc>
          <w:tcPr>
            <w:tcW w:w="757" w:type="pct"/>
            <w:vAlign w:val="bottom"/>
            <w:hideMark/>
          </w:tcPr>
          <w:p w14:paraId="2F31ADDC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1FE78F1D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05FCF0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C9F553" w14:textId="376CCACA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757" w:type="pct"/>
            <w:vAlign w:val="bottom"/>
          </w:tcPr>
          <w:p w14:paraId="14D54E97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634BDBD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0BED74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184228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Funkce mDNS brány pro distribuci a filtraci multicast služeb napříč IP subnety</w:t>
            </w:r>
          </w:p>
        </w:tc>
        <w:tc>
          <w:tcPr>
            <w:tcW w:w="757" w:type="pct"/>
            <w:vAlign w:val="bottom"/>
          </w:tcPr>
          <w:p w14:paraId="652E5476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D6B198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A00044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7BDEFC9" w14:textId="7852D391" w:rsidR="009872E6" w:rsidRPr="002A2F04" w:rsidRDefault="009872E6" w:rsidP="009872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L3 routed port a IP unnumbered interface</w:t>
            </w:r>
          </w:p>
        </w:tc>
        <w:tc>
          <w:tcPr>
            <w:tcW w:w="757" w:type="pct"/>
            <w:vAlign w:val="bottom"/>
          </w:tcPr>
          <w:p w14:paraId="4CA4EA21" w14:textId="25711E48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DB6D46B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B20559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456E34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757" w:type="pct"/>
            <w:vAlign w:val="bottom"/>
          </w:tcPr>
          <w:p w14:paraId="545A75CF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D665D9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0F47965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27FB056" w14:textId="55706EBB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2 000</w:t>
            </w:r>
          </w:p>
        </w:tc>
        <w:tc>
          <w:tcPr>
            <w:tcW w:w="757" w:type="pct"/>
            <w:vAlign w:val="bottom"/>
          </w:tcPr>
          <w:p w14:paraId="679C951A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D10F9A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8061E1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85FC433" w14:textId="011250FC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1 000</w:t>
            </w:r>
          </w:p>
        </w:tc>
        <w:tc>
          <w:tcPr>
            <w:tcW w:w="757" w:type="pct"/>
            <w:vAlign w:val="bottom"/>
          </w:tcPr>
          <w:p w14:paraId="1CF6B9A3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3C6547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689A26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DBC8B1B" w14:textId="74ED54FC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Dynamické směrování: RIP, RIPng, OSPFv2 včetně HMAC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GB"/>
              </w:rPr>
              <w:t>-SHA-384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757" w:type="pct"/>
            <w:vAlign w:val="bottom"/>
          </w:tcPr>
          <w:p w14:paraId="55315A3B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15F77F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E3ECA93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17BEA76D" w14:textId="7F1BF47F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polic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y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based routing</w:t>
            </w:r>
          </w:p>
        </w:tc>
        <w:tc>
          <w:tcPr>
            <w:tcW w:w="757" w:type="pct"/>
            <w:vAlign w:val="center"/>
          </w:tcPr>
          <w:p w14:paraId="0829B43A" w14:textId="6D6EE1A0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2F3CE5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DEE166C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B498831" w14:textId="51D2AD83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757" w:type="pct"/>
            <w:vAlign w:val="center"/>
          </w:tcPr>
          <w:p w14:paraId="5EFA99CA" w14:textId="1A575422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EEAB9F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4D61799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341E70C4" w14:textId="2343522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route map</w:t>
            </w:r>
          </w:p>
        </w:tc>
        <w:tc>
          <w:tcPr>
            <w:tcW w:w="757" w:type="pct"/>
            <w:vAlign w:val="center"/>
          </w:tcPr>
          <w:p w14:paraId="0ED8D9E9" w14:textId="68B365AD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2C76CB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8BEBC98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077EC993" w14:textId="10ACB025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757" w:type="pct"/>
            <w:vAlign w:val="center"/>
          </w:tcPr>
          <w:p w14:paraId="2607BDC8" w14:textId="2DF13D80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08700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0FFA4F8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50AD3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IGMP v2 a v3, IGMP snooping</w:t>
            </w:r>
          </w:p>
        </w:tc>
        <w:tc>
          <w:tcPr>
            <w:tcW w:w="757" w:type="pct"/>
            <w:vAlign w:val="bottom"/>
          </w:tcPr>
          <w:p w14:paraId="35124A0F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9AFFFF0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00E224B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0CA213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MLD v1 a v2, MLD snooping</w:t>
            </w:r>
          </w:p>
        </w:tc>
        <w:tc>
          <w:tcPr>
            <w:tcW w:w="757" w:type="pct"/>
            <w:vAlign w:val="bottom"/>
          </w:tcPr>
          <w:p w14:paraId="3568609E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4F64F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872E6" w:rsidRPr="005330C7" w14:paraId="450A8269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7EA73C0C" w14:textId="4AE0DFF3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Směrování multicast: PIM-DM, PIM-SM, PIM-BIDIR, IPv6 PIM-SM, PIM-SSM, IPv6 PIM-SSM</w:t>
            </w:r>
          </w:p>
        </w:tc>
        <w:tc>
          <w:tcPr>
            <w:tcW w:w="757" w:type="pct"/>
            <w:vAlign w:val="center"/>
          </w:tcPr>
          <w:p w14:paraId="70B79014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1F4E4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D814FF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F39CBB7" w14:textId="2265BBB1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Hardware podpora IPv4 a IPv6 ACL včetně podpory object group pro IP adresy a porty</w:t>
            </w:r>
          </w:p>
        </w:tc>
        <w:tc>
          <w:tcPr>
            <w:tcW w:w="757" w:type="pct"/>
            <w:vAlign w:val="bottom"/>
          </w:tcPr>
          <w:p w14:paraId="2748EF98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41C51F7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045F807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4E58B67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757" w:type="pct"/>
            <w:vAlign w:val="bottom"/>
          </w:tcPr>
          <w:p w14:paraId="1521ABA3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7C24F0D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8287BB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ED0076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757" w:type="pct"/>
            <w:vAlign w:val="bottom"/>
          </w:tcPr>
          <w:p w14:paraId="6DB9FB9F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F6FBD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4C98E1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FAB3B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DHCP snooping pro IPv4 a IPv6</w:t>
            </w:r>
          </w:p>
        </w:tc>
        <w:tc>
          <w:tcPr>
            <w:tcW w:w="757" w:type="pct"/>
            <w:vAlign w:val="bottom"/>
          </w:tcPr>
          <w:p w14:paraId="51CC78F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C49C2F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F94FF8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35DEF8F" w14:textId="5E832409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HW ochrana proti zahlcení portu (broadcast/multicast/unicast) nastavitelná na kbps a pps</w:t>
            </w:r>
          </w:p>
        </w:tc>
        <w:tc>
          <w:tcPr>
            <w:tcW w:w="757" w:type="pct"/>
            <w:vAlign w:val="bottom"/>
          </w:tcPr>
          <w:p w14:paraId="25BC38E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E0151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70A57D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21B830F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757" w:type="pct"/>
            <w:vAlign w:val="bottom"/>
          </w:tcPr>
          <w:p w14:paraId="347FA61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013EA2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6F34A9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2D8E17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757" w:type="pct"/>
            <w:vAlign w:val="bottom"/>
          </w:tcPr>
          <w:p w14:paraId="754E96ED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300F63C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5433D1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825BAD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Dynamické zařazování do VLAN a přidělení QoS podle RFC 4675</w:t>
            </w:r>
          </w:p>
        </w:tc>
        <w:tc>
          <w:tcPr>
            <w:tcW w:w="757" w:type="pct"/>
            <w:vAlign w:val="bottom"/>
            <w:hideMark/>
          </w:tcPr>
          <w:p w14:paraId="5A03D23D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5FA5588F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A875F5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8B7EB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802.1X s podporou odlišných Preauth VLAN, Fail VLAN, Critical VLAN a Critical voice VLAN</w:t>
            </w:r>
          </w:p>
        </w:tc>
        <w:tc>
          <w:tcPr>
            <w:tcW w:w="757" w:type="pct"/>
            <w:vAlign w:val="bottom"/>
          </w:tcPr>
          <w:p w14:paraId="0588E06A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F16033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300F81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E884B03" w14:textId="773A596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802.1X a MAC ověřování pomocí odlišných RADIUS serverů aplikované na různé skupiny portů přepínače</w:t>
            </w:r>
          </w:p>
        </w:tc>
        <w:tc>
          <w:tcPr>
            <w:tcW w:w="757" w:type="pct"/>
            <w:vAlign w:val="bottom"/>
          </w:tcPr>
          <w:p w14:paraId="1DB27514" w14:textId="11470639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242429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4A411B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660F274" w14:textId="109D91CC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Uživatelské role definujících pro konkrétní uživatele více tagovaných či netagovaných VLAN, ACL, QoS politiky a SDN tunely</w:t>
            </w:r>
          </w:p>
        </w:tc>
        <w:tc>
          <w:tcPr>
            <w:tcW w:w="757" w:type="pct"/>
            <w:vAlign w:val="bottom"/>
          </w:tcPr>
          <w:p w14:paraId="00423D4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835D7C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E2D5D8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54762B8" w14:textId="2F1546B0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757" w:type="pct"/>
            <w:vAlign w:val="bottom"/>
          </w:tcPr>
          <w:p w14:paraId="4EA31CF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29B62E2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F94FB8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D6AE82E" w14:textId="06F5ED2D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757" w:type="pct"/>
            <w:vAlign w:val="bottom"/>
          </w:tcPr>
          <w:p w14:paraId="7959ED3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EE8C9C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9C2D4A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71ECE50" w14:textId="618FD4FE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Tunelování uživatelského provozu do L2 GRE tunelů - schopnost izolovat více koncových zařízení na jednom portu do unikátních tunelů</w:t>
            </w:r>
          </w:p>
        </w:tc>
        <w:tc>
          <w:tcPr>
            <w:tcW w:w="757" w:type="pct"/>
            <w:vAlign w:val="bottom"/>
          </w:tcPr>
          <w:p w14:paraId="33DD94A0" w14:textId="1084AD20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69B957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EA17FA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AB468E8" w14:textId="4CF2673C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757" w:type="pct"/>
            <w:vAlign w:val="bottom"/>
          </w:tcPr>
          <w:p w14:paraId="76298A02" w14:textId="0A6F54FF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2A0672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199AC4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BA7811" w14:textId="69AAD299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bezpečného transportu Dynamic ACL během 802.1X, např. pomocí SSL</w:t>
            </w:r>
          </w:p>
        </w:tc>
        <w:tc>
          <w:tcPr>
            <w:tcW w:w="757" w:type="pct"/>
            <w:vAlign w:val="bottom"/>
          </w:tcPr>
          <w:p w14:paraId="429CEC08" w14:textId="595E38E9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917D02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F00374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683B8B3" w14:textId="478F2426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Profilování zařízení pomocí síťových otisků DHCP, HTTP, CDP, LLDP a jejich přenos RADIUSem</w:t>
            </w:r>
          </w:p>
        </w:tc>
        <w:tc>
          <w:tcPr>
            <w:tcW w:w="757" w:type="pct"/>
            <w:vAlign w:val="bottom"/>
          </w:tcPr>
          <w:p w14:paraId="565175BB" w14:textId="5DDB3E9C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E1E647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CCB87C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1829FD2" w14:textId="0C60EF8D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IPv6 RA Guard, DHCPv6 Guard a IPv6 Destination Guard</w:t>
            </w:r>
          </w:p>
        </w:tc>
        <w:tc>
          <w:tcPr>
            <w:tcW w:w="757" w:type="pct"/>
            <w:vAlign w:val="bottom"/>
          </w:tcPr>
          <w:p w14:paraId="7B3A0816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C553B2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54707A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725EA0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IP source guard / dynamic IP lockdown</w:t>
            </w:r>
          </w:p>
        </w:tc>
        <w:tc>
          <w:tcPr>
            <w:tcW w:w="757" w:type="pct"/>
            <w:vAlign w:val="bottom"/>
          </w:tcPr>
          <w:p w14:paraId="64905361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0FDB909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D5A3661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0FEB711" w14:textId="308AF614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Ochrana ARP protokolu (Dynamic ARP protection nebo funkčně ekvivalentní)</w:t>
            </w:r>
          </w:p>
        </w:tc>
        <w:tc>
          <w:tcPr>
            <w:tcW w:w="757" w:type="pct"/>
            <w:vAlign w:val="bottom"/>
          </w:tcPr>
          <w:p w14:paraId="06C1CFA3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447462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A96B80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C13289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Port security - omezení počtu MAC adres na port, statické MAC, sticky MAC</w:t>
            </w:r>
          </w:p>
        </w:tc>
        <w:tc>
          <w:tcPr>
            <w:tcW w:w="757" w:type="pct"/>
            <w:vAlign w:val="bottom"/>
          </w:tcPr>
          <w:p w14:paraId="660866D7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6B5E455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98A2E4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E1B3E2D" w14:textId="251F1B63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BPDU guard a Root guard</w:t>
            </w:r>
          </w:p>
        </w:tc>
        <w:tc>
          <w:tcPr>
            <w:tcW w:w="757" w:type="pct"/>
            <w:vAlign w:val="bottom"/>
          </w:tcPr>
          <w:p w14:paraId="162D09CF" w14:textId="27A5D0EC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8DE0C4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C8D989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C42EB5A" w14:textId="3C2ACB59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lastRenderedPageBreak/>
              <w:t>HW a SW podpora VXLAN</w:t>
            </w:r>
          </w:p>
        </w:tc>
        <w:tc>
          <w:tcPr>
            <w:tcW w:w="757" w:type="pct"/>
            <w:vAlign w:val="bottom"/>
          </w:tcPr>
          <w:p w14:paraId="0E4BCB58" w14:textId="317F4278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CC494D0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F1FA44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BE668D" w14:textId="557EB7B0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Group based policy pro VXLAN (VXLAN GBP)</w:t>
            </w:r>
          </w:p>
        </w:tc>
        <w:tc>
          <w:tcPr>
            <w:tcW w:w="757" w:type="pct"/>
            <w:vAlign w:val="bottom"/>
          </w:tcPr>
          <w:p w14:paraId="26711DBE" w14:textId="2CECFE4E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C8ED8C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E11FA9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31FB366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Konfigurovatelná ochrana control plane (CoPP) před DoS útoky na CPU</w:t>
            </w:r>
          </w:p>
        </w:tc>
        <w:tc>
          <w:tcPr>
            <w:tcW w:w="757" w:type="pct"/>
            <w:vAlign w:val="bottom"/>
          </w:tcPr>
          <w:p w14:paraId="12322062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2810F84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B70CA7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C6F69C3" w14:textId="31146E48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757" w:type="pct"/>
            <w:vAlign w:val="bottom"/>
          </w:tcPr>
          <w:p w14:paraId="09394698" w14:textId="7AB3CC3C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555E64B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570F2F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2C62B5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757" w:type="pct"/>
            <w:vAlign w:val="bottom"/>
          </w:tcPr>
          <w:p w14:paraId="0778CDCC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7BB8E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FBA281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9818905" w14:textId="6B4D193C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TACACS+ a RADIUS klient pro AAA (autentizace, autorizace, accounting)</w:t>
            </w:r>
          </w:p>
        </w:tc>
        <w:tc>
          <w:tcPr>
            <w:tcW w:w="757" w:type="pct"/>
            <w:vAlign w:val="bottom"/>
          </w:tcPr>
          <w:p w14:paraId="19723765" w14:textId="16C97A92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C3E878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47BC39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3B575B8" w14:textId="20DE215A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757" w:type="pct"/>
            <w:vAlign w:val="bottom"/>
          </w:tcPr>
          <w:p w14:paraId="5371D57B" w14:textId="714FFC2C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117AE0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2CC346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6F518A1" w14:textId="231904D8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Radius over TLS (RadSec)</w:t>
            </w:r>
          </w:p>
        </w:tc>
        <w:tc>
          <w:tcPr>
            <w:tcW w:w="757" w:type="pct"/>
            <w:vAlign w:val="bottom"/>
          </w:tcPr>
          <w:p w14:paraId="73BEA0DE" w14:textId="6CFE150B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32E505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005A935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CDA2899" w14:textId="53E66970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RADIUS CoA (RFC3576)</w:t>
            </w:r>
          </w:p>
        </w:tc>
        <w:tc>
          <w:tcPr>
            <w:tcW w:w="757" w:type="pct"/>
            <w:vAlign w:val="bottom"/>
          </w:tcPr>
          <w:p w14:paraId="78543E8F" w14:textId="0D26358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2F0F10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8E219CA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66B1BA14" w14:textId="1FA68094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757" w:type="pct"/>
            <w:vAlign w:val="center"/>
          </w:tcPr>
          <w:p w14:paraId="4B3C8973" w14:textId="519F698F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C71E81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BD063C6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7F2C160C" w14:textId="531B03C4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QoS ochrana před zahlcením WRED</w:t>
            </w:r>
          </w:p>
        </w:tc>
        <w:tc>
          <w:tcPr>
            <w:tcW w:w="757" w:type="pct"/>
            <w:vAlign w:val="center"/>
          </w:tcPr>
          <w:p w14:paraId="5956BF9F" w14:textId="1AAE4781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0021AF0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012D2B7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362BDA3F" w14:textId="1C479C0C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Minimálně 8 front pro IEEE 802.1p</w:t>
            </w:r>
          </w:p>
        </w:tc>
        <w:tc>
          <w:tcPr>
            <w:tcW w:w="757" w:type="pct"/>
            <w:vAlign w:val="center"/>
          </w:tcPr>
          <w:p w14:paraId="4B608258" w14:textId="014CA200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075538B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739953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3F33D97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757" w:type="pct"/>
            <w:vAlign w:val="bottom"/>
          </w:tcPr>
          <w:p w14:paraId="558ECFC0" w14:textId="56E51C9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</w:tcPr>
          <w:p w14:paraId="62C4E95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4CC8C0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95CD648" w14:textId="2E7554BA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CLI formou RJ45 serial konsole port</w:t>
            </w:r>
          </w:p>
        </w:tc>
        <w:tc>
          <w:tcPr>
            <w:tcW w:w="757" w:type="pct"/>
            <w:vAlign w:val="bottom"/>
          </w:tcPr>
          <w:p w14:paraId="7995789F" w14:textId="664020A3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415E5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D52F96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DCA4A5C" w14:textId="7BF78D0D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CLI formou 1x USB-C console port</w:t>
            </w:r>
          </w:p>
        </w:tc>
        <w:tc>
          <w:tcPr>
            <w:tcW w:w="757" w:type="pct"/>
            <w:vAlign w:val="bottom"/>
          </w:tcPr>
          <w:p w14:paraId="74937D2A" w14:textId="62EB2A20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935BAF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702A0E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13D77F3" w14:textId="1B8C0153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bluetooth sériové konzole</w:t>
            </w:r>
          </w:p>
        </w:tc>
        <w:tc>
          <w:tcPr>
            <w:tcW w:w="757" w:type="pct"/>
            <w:vAlign w:val="bottom"/>
          </w:tcPr>
          <w:p w14:paraId="4E2F656A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B527FEF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DCDC716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AE4B1A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757" w:type="pct"/>
            <w:vAlign w:val="bottom"/>
          </w:tcPr>
          <w:p w14:paraId="727F98B2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411E6B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4E0673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A5B7C72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OoB management formou portu RJ45 s podporou ethernetu</w:t>
            </w:r>
          </w:p>
        </w:tc>
        <w:tc>
          <w:tcPr>
            <w:tcW w:w="757" w:type="pct"/>
            <w:vAlign w:val="bottom"/>
          </w:tcPr>
          <w:p w14:paraId="62C1F901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bottom"/>
          </w:tcPr>
          <w:p w14:paraId="467A822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9872E6" w:rsidRPr="005330C7" w14:paraId="0D459D51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0E0C950C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IPv4 a IPv6 management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 xml:space="preserve">: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757" w:type="pct"/>
            <w:vAlign w:val="center"/>
          </w:tcPr>
          <w:p w14:paraId="13BEB25F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5CDA528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6689786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1CD7C291" w14:textId="6589D308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Dvou-faktorová autentizace pro SSH a WebGUI přihlášení</w:t>
            </w:r>
          </w:p>
        </w:tc>
        <w:tc>
          <w:tcPr>
            <w:tcW w:w="757" w:type="pct"/>
            <w:vAlign w:val="center"/>
          </w:tcPr>
          <w:p w14:paraId="1C4FE4B5" w14:textId="3C5C5C3B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05B7C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444414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2B0DF3A" w14:textId="3849A35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 AES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757" w:type="pct"/>
            <w:vAlign w:val="bottom"/>
          </w:tcPr>
          <w:p w14:paraId="167093C2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7E12B3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58E75C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7DE3FE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757" w:type="pct"/>
            <w:vAlign w:val="bottom"/>
          </w:tcPr>
          <w:p w14:paraId="4445E31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82604A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D10184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54A3D9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757" w:type="pct"/>
            <w:vAlign w:val="bottom"/>
          </w:tcPr>
          <w:p w14:paraId="3C28ECDF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13F0F8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47184E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941E020" w14:textId="1EF5AE13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757" w:type="pct"/>
            <w:vAlign w:val="bottom"/>
          </w:tcPr>
          <w:p w14:paraId="2F4007CA" w14:textId="71453DE6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67793E5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2B7C19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637DBB7" w14:textId="39FA5A72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aktualizací běžícího software bez nutnosti restartovat systém - Hot-Patching</w:t>
            </w:r>
          </w:p>
        </w:tc>
        <w:tc>
          <w:tcPr>
            <w:tcW w:w="757" w:type="pct"/>
            <w:vAlign w:val="bottom"/>
          </w:tcPr>
          <w:p w14:paraId="57F4E37B" w14:textId="629F2391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8C7C404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5B2373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63722DC" w14:textId="318228AF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Du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á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lní flash image - podpora dvou nezávislých verzí operačního systému</w:t>
            </w:r>
          </w:p>
        </w:tc>
        <w:tc>
          <w:tcPr>
            <w:tcW w:w="757" w:type="pct"/>
            <w:vAlign w:val="bottom"/>
          </w:tcPr>
          <w:p w14:paraId="6C414E9A" w14:textId="7F2A8669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0714D6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7083443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B8B1CCB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757" w:type="pct"/>
            <w:vAlign w:val="bottom"/>
          </w:tcPr>
          <w:p w14:paraId="72DC51AA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35D04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2F7D29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B7DBC4" w14:textId="351C827E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757" w:type="pct"/>
            <w:vAlign w:val="bottom"/>
          </w:tcPr>
          <w:p w14:paraId="2B76D036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81E719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8ECFD5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A3E965C" w14:textId="685DA42E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SYSLOG over TLS</w:t>
            </w:r>
          </w:p>
        </w:tc>
        <w:tc>
          <w:tcPr>
            <w:tcW w:w="757" w:type="pct"/>
            <w:vAlign w:val="bottom"/>
          </w:tcPr>
          <w:p w14:paraId="7E1B43A6" w14:textId="0DDF7C16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FF3DA6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0682522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856E1EB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automatických i manuálních snapshotů systému a možnost automatického obnovení předchozí konfigurace v případě konfigurační chyby</w:t>
            </w:r>
          </w:p>
        </w:tc>
        <w:tc>
          <w:tcPr>
            <w:tcW w:w="757" w:type="pct"/>
            <w:vAlign w:val="bottom"/>
          </w:tcPr>
          <w:p w14:paraId="4825BFE6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B3FB7FD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B3B4E6C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50969C1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standardního Linux Shellu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>(BASH) pro debugging a skripto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757" w:type="pct"/>
            <w:vAlign w:val="center"/>
          </w:tcPr>
          <w:p w14:paraId="3CEE730C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2C06DA6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7C212A9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3D3C6C43" w14:textId="695F8AC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skrip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ování v jazyce Python – lokální interpret jazyka v přepínači</w:t>
            </w:r>
          </w:p>
        </w:tc>
        <w:tc>
          <w:tcPr>
            <w:tcW w:w="757" w:type="pct"/>
            <w:vAlign w:val="center"/>
          </w:tcPr>
          <w:p w14:paraId="521216D0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B02068D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0C18C14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0705E01" w14:textId="2F5F3094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757" w:type="pct"/>
            <w:vAlign w:val="bottom"/>
          </w:tcPr>
          <w:p w14:paraId="11D309BC" w14:textId="39020CE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8291BB4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A631EA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CD27EB" w14:textId="14DD06B8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Grafické rozhraní pro vynášení výsledků monitorování a analytických skriptů - možnost vynášení stavu monitorovaných metrik do grafů atp.</w:t>
            </w:r>
          </w:p>
        </w:tc>
        <w:tc>
          <w:tcPr>
            <w:tcW w:w="757" w:type="pct"/>
            <w:vAlign w:val="bottom"/>
          </w:tcPr>
          <w:p w14:paraId="0F8135C5" w14:textId="26D388EF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AF8806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008DA5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ABF8C71" w14:textId="7E576B8D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Root cause analysis v grafickém rozhraní – možnost vrácení se ke konkrétní funkční konfiguraci a stavu protokolů v čase</w:t>
            </w:r>
          </w:p>
        </w:tc>
        <w:tc>
          <w:tcPr>
            <w:tcW w:w="757" w:type="pct"/>
            <w:vAlign w:val="bottom"/>
          </w:tcPr>
          <w:p w14:paraId="117B87D2" w14:textId="527A0D5B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B1642AE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081B96F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2B52A328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Integrovaný nástroj na odchyt paketů (např. WireShark nebo ekvivalentní)</w:t>
            </w:r>
          </w:p>
        </w:tc>
        <w:tc>
          <w:tcPr>
            <w:tcW w:w="757" w:type="pct"/>
            <w:vAlign w:val="center"/>
          </w:tcPr>
          <w:p w14:paraId="1C49ED21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B1ADC4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3E171AE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7BB393CA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757" w:type="pct"/>
            <w:vAlign w:val="center"/>
          </w:tcPr>
          <w:p w14:paraId="33399CA0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43A83DC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32567CE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AD2E31F" w14:textId="1725AE2D" w:rsidR="009872E6" w:rsidRPr="002A2F04" w:rsidRDefault="009872E6" w:rsidP="009872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ú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loži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š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tě dat pro sběr provozních dat a pokročilou di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gnostiku zařízení: min. 15 GB</w:t>
            </w:r>
          </w:p>
        </w:tc>
        <w:tc>
          <w:tcPr>
            <w:tcW w:w="757" w:type="pct"/>
            <w:vAlign w:val="center"/>
          </w:tcPr>
          <w:p w14:paraId="175FFDF9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89EE78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1641C9E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47C9DA1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Analýza síťového provozu sFlow podle RFC 3176 pro oba směry ingress a egress</w:t>
            </w:r>
          </w:p>
        </w:tc>
        <w:tc>
          <w:tcPr>
            <w:tcW w:w="757" w:type="pct"/>
            <w:vAlign w:val="bottom"/>
          </w:tcPr>
          <w:p w14:paraId="0BB7D76C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6D00AF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787BDCB" w14:textId="77777777" w:rsidTr="00DC453F">
        <w:trPr>
          <w:trHeight w:val="288"/>
          <w:jc w:val="center"/>
        </w:trPr>
        <w:tc>
          <w:tcPr>
            <w:tcW w:w="3654" w:type="pct"/>
            <w:vAlign w:val="center"/>
          </w:tcPr>
          <w:p w14:paraId="439466C6" w14:textId="4F24CC55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Analýza síťového provozu IPFIX</w:t>
            </w:r>
          </w:p>
        </w:tc>
        <w:tc>
          <w:tcPr>
            <w:tcW w:w="757" w:type="pct"/>
            <w:vAlign w:val="center"/>
          </w:tcPr>
          <w:p w14:paraId="2F3781CA" w14:textId="51BFBE55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F7ADD46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40A6A0C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4EB556B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Ochrana proti nahrání modifikovaného SW prostřednictvím image signing a secure boot, ověřující autentičnost a integritu OS prostřednictvím TPM chipu</w:t>
            </w:r>
          </w:p>
        </w:tc>
        <w:tc>
          <w:tcPr>
            <w:tcW w:w="757" w:type="pct"/>
            <w:vAlign w:val="bottom"/>
          </w:tcPr>
          <w:p w14:paraId="0338D40C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62B92AC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D8617D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3740B40" w14:textId="1D9E0556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SPAN a ERSPAN port mirroring, alespoň 4 různé obousměrné session</w:t>
            </w:r>
          </w:p>
        </w:tc>
        <w:tc>
          <w:tcPr>
            <w:tcW w:w="757" w:type="pct"/>
            <w:vAlign w:val="bottom"/>
          </w:tcPr>
          <w:p w14:paraId="25E07F3A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7D99E8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6826298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C4DAD01" w14:textId="38E72EFB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lastRenderedPageBreak/>
              <w:t xml:space="preserve">IP SLA pro měření dostupnosti a zpoždění provozu VoIP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režim responder i probe  </w:t>
            </w:r>
          </w:p>
        </w:tc>
        <w:tc>
          <w:tcPr>
            <w:tcW w:w="757" w:type="pct"/>
            <w:vAlign w:val="bottom"/>
          </w:tcPr>
          <w:p w14:paraId="4AF30303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7C76979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355D94CE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D2F8A5F" w14:textId="50C3386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integrace s automatizačními nástroji (Ansible, NAPALM)</w:t>
            </w:r>
          </w:p>
        </w:tc>
        <w:tc>
          <w:tcPr>
            <w:tcW w:w="757" w:type="pct"/>
            <w:vAlign w:val="bottom"/>
          </w:tcPr>
          <w:p w14:paraId="33DC3A3A" w14:textId="6892A4CD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2B28323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25A9976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B1554A7" w14:textId="5535DD5B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Automatizace – podpora read-only a read-write REST API včetně </w:t>
            </w:r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757" w:type="pct"/>
            <w:vAlign w:val="bottom"/>
          </w:tcPr>
          <w:p w14:paraId="1C5D4E41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28FE74F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7184ACF" w14:textId="77777777" w:rsidTr="00FE2A8D">
        <w:trPr>
          <w:trHeight w:val="288"/>
          <w:jc w:val="center"/>
        </w:trPr>
        <w:tc>
          <w:tcPr>
            <w:tcW w:w="3654" w:type="pct"/>
            <w:tcBorders>
              <w:bottom w:val="single" w:sz="4" w:space="0" w:color="auto"/>
            </w:tcBorders>
            <w:vAlign w:val="bottom"/>
          </w:tcPr>
          <w:p w14:paraId="7622B5EA" w14:textId="04B59FD2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2CA9CE3E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noWrap/>
            <w:vAlign w:val="center"/>
          </w:tcPr>
          <w:p w14:paraId="0959DA4C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872E6" w:rsidRPr="005330C7" w14:paraId="56C32D25" w14:textId="77777777" w:rsidTr="00FE2A8D">
        <w:trPr>
          <w:trHeight w:val="288"/>
          <w:jc w:val="center"/>
        </w:trPr>
        <w:tc>
          <w:tcPr>
            <w:tcW w:w="3654" w:type="pct"/>
            <w:tcBorders>
              <w:bottom w:val="single" w:sz="4" w:space="0" w:color="auto"/>
            </w:tcBorders>
            <w:vAlign w:val="bottom"/>
          </w:tcPr>
          <w:p w14:paraId="59FABFB0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Zero Touch Provisioning (ZTP)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0398B0A3" w14:textId="77777777" w:rsidR="009872E6" w:rsidRPr="002A2F04" w:rsidRDefault="009872E6" w:rsidP="009872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noWrap/>
            <w:vAlign w:val="center"/>
          </w:tcPr>
          <w:p w14:paraId="13BD0DB2" w14:textId="77777777" w:rsidR="009872E6" w:rsidRPr="002A2F04" w:rsidRDefault="009872E6" w:rsidP="009872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3948D77" w14:textId="77777777" w:rsidR="0006318B" w:rsidRDefault="0006318B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BEA7008" w14:textId="77777777" w:rsidR="007A55A9" w:rsidRDefault="007A55A9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415C556" w14:textId="77777777" w:rsidR="007A55A9" w:rsidRPr="005330C7" w:rsidRDefault="007A55A9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3948D78" w14:textId="77777777" w:rsidR="00D36E5E" w:rsidRPr="005330C7" w:rsidRDefault="00D36E5E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330C7">
        <w:rPr>
          <w:rFonts w:asciiTheme="minorHAnsi" w:hAnsiTheme="minorHAnsi" w:cstheme="minorHAnsi"/>
          <w:b/>
          <w:sz w:val="20"/>
          <w:szCs w:val="20"/>
        </w:rPr>
        <w:t>Ostatní podmínky</w:t>
      </w:r>
      <w:r w:rsidRPr="005330C7">
        <w:rPr>
          <w:rFonts w:asciiTheme="minorHAnsi" w:hAnsiTheme="minorHAnsi" w:cstheme="minorHAnsi"/>
          <w:b/>
          <w:sz w:val="20"/>
          <w:szCs w:val="20"/>
          <w:lang w:val="en-US"/>
        </w:rPr>
        <w:t>:</w:t>
      </w:r>
    </w:p>
    <w:p w14:paraId="43948D79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Hardware musí být dodán zcela nový, plně funkční a kompletní (včetně příslušenství)</w:t>
      </w:r>
    </w:p>
    <w:p w14:paraId="43948D7A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Dodávka musí obsahovat veškeré potřebné licence pro spln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>ění požadovaných</w:t>
      </w:r>
      <w:r w:rsidRPr="005330C7">
        <w:rPr>
          <w:rFonts w:asciiTheme="minorHAnsi" w:hAnsiTheme="minorHAnsi" w:cstheme="minorHAnsi"/>
          <w:sz w:val="20"/>
          <w:szCs w:val="20"/>
        </w:rPr>
        <w:t xml:space="preserve"> vlastností a parametrů.</w:t>
      </w:r>
    </w:p>
    <w:p w14:paraId="43948D7B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Je požadovaná z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 xml:space="preserve">áruka na </w:t>
      </w:r>
      <w:r w:rsidR="00BC4EB7" w:rsidRPr="005330C7">
        <w:rPr>
          <w:rFonts w:asciiTheme="minorHAnsi" w:hAnsiTheme="minorHAnsi" w:cstheme="minorHAnsi"/>
          <w:sz w:val="20"/>
          <w:szCs w:val="20"/>
        </w:rPr>
        <w:t xml:space="preserve">hardware s výměnou </w:t>
      </w:r>
      <w:r w:rsidRPr="005330C7">
        <w:rPr>
          <w:rFonts w:asciiTheme="minorHAnsi" w:hAnsiTheme="minorHAnsi" w:cstheme="minorHAnsi"/>
          <w:sz w:val="20"/>
          <w:szCs w:val="20"/>
        </w:rPr>
        <w:t xml:space="preserve">v délce </w:t>
      </w:r>
      <w:r w:rsidR="009A228F" w:rsidRPr="005330C7">
        <w:rPr>
          <w:rFonts w:asciiTheme="minorHAnsi" w:hAnsiTheme="minorHAnsi" w:cstheme="minorHAnsi"/>
          <w:sz w:val="20"/>
          <w:szCs w:val="20"/>
        </w:rPr>
        <w:t>60</w:t>
      </w:r>
      <w:r w:rsidRPr="005330C7">
        <w:rPr>
          <w:rFonts w:asciiTheme="minorHAnsi" w:hAnsiTheme="minorHAnsi" w:cstheme="minorHAnsi"/>
          <w:sz w:val="20"/>
          <w:szCs w:val="20"/>
        </w:rPr>
        <w:t xml:space="preserve"> měsíců. Tato záruka mus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>í být</w:t>
      </w:r>
      <w:r w:rsidRPr="005330C7">
        <w:rPr>
          <w:rFonts w:asciiTheme="minorHAnsi" w:hAnsiTheme="minorHAnsi" w:cstheme="minorHAnsi"/>
          <w:sz w:val="20"/>
          <w:szCs w:val="20"/>
        </w:rPr>
        <w:t xml:space="preserve"> garantovaná </w:t>
      </w:r>
      <w:r w:rsidR="00B0027C" w:rsidRPr="005330C7">
        <w:rPr>
          <w:rFonts w:asciiTheme="minorHAnsi" w:hAnsiTheme="minorHAnsi" w:cstheme="minorHAnsi"/>
          <w:sz w:val="20"/>
          <w:szCs w:val="20"/>
        </w:rPr>
        <w:t>p</w:t>
      </w:r>
      <w:r w:rsidR="00B0027C" w:rsidRPr="005330C7">
        <w:rPr>
          <w:rFonts w:asciiTheme="minorHAnsi" w:hAnsiTheme="minorHAnsi" w:cstheme="minorHAnsi"/>
          <w:sz w:val="20"/>
          <w:szCs w:val="20"/>
          <w:lang w:val="cs-CZ"/>
        </w:rPr>
        <w:t xml:space="preserve">římo </w:t>
      </w:r>
      <w:r w:rsidRPr="005330C7">
        <w:rPr>
          <w:rFonts w:asciiTheme="minorHAnsi" w:hAnsiTheme="minorHAnsi" w:cstheme="minorHAnsi"/>
          <w:sz w:val="20"/>
          <w:szCs w:val="20"/>
        </w:rPr>
        <w:t>výrobcem zařízení.</w:t>
      </w:r>
    </w:p>
    <w:p w14:paraId="43948D7C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Jsou požadovány software aktualizace (nové verze programového vybavení) v minimální délce 60 měsíců.</w:t>
      </w:r>
    </w:p>
    <w:p w14:paraId="00BF1DAD" w14:textId="0A8B32B7" w:rsidR="005833A4" w:rsidRPr="005330C7" w:rsidRDefault="00D36E5E" w:rsidP="005833A4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Uchazeč je povinen s dodávkou doložit oficiální potvrzení lokálního zastoupení výrobce o všech dodávaných zařízeních (seznam sériových čísel dodávaných zařízení) pro český trh.</w:t>
      </w:r>
    </w:p>
    <w:sectPr w:rsidR="005833A4" w:rsidRPr="005330C7" w:rsidSect="004103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3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D0"/>
    <w:rsid w:val="00010A26"/>
    <w:rsid w:val="00017828"/>
    <w:rsid w:val="00023E53"/>
    <w:rsid w:val="00027AD6"/>
    <w:rsid w:val="000579CF"/>
    <w:rsid w:val="0006318B"/>
    <w:rsid w:val="000673F8"/>
    <w:rsid w:val="0007549C"/>
    <w:rsid w:val="00077A93"/>
    <w:rsid w:val="000863F4"/>
    <w:rsid w:val="00086978"/>
    <w:rsid w:val="00097E58"/>
    <w:rsid w:val="000C301E"/>
    <w:rsid w:val="000D29C1"/>
    <w:rsid w:val="000D2CF1"/>
    <w:rsid w:val="000E7F28"/>
    <w:rsid w:val="000F6997"/>
    <w:rsid w:val="00111CD3"/>
    <w:rsid w:val="0012007F"/>
    <w:rsid w:val="00130D81"/>
    <w:rsid w:val="001401A2"/>
    <w:rsid w:val="00143C30"/>
    <w:rsid w:val="001453B0"/>
    <w:rsid w:val="00153D00"/>
    <w:rsid w:val="00175623"/>
    <w:rsid w:val="00177E2F"/>
    <w:rsid w:val="00181CE2"/>
    <w:rsid w:val="00192EA4"/>
    <w:rsid w:val="001C0AC1"/>
    <w:rsid w:val="001D02C3"/>
    <w:rsid w:val="001E1F19"/>
    <w:rsid w:val="001F1402"/>
    <w:rsid w:val="001F2E35"/>
    <w:rsid w:val="001F5BFD"/>
    <w:rsid w:val="001F6F29"/>
    <w:rsid w:val="002018D5"/>
    <w:rsid w:val="00201D2A"/>
    <w:rsid w:val="00205BC4"/>
    <w:rsid w:val="0022114C"/>
    <w:rsid w:val="002254CA"/>
    <w:rsid w:val="0023342D"/>
    <w:rsid w:val="00235170"/>
    <w:rsid w:val="0024190A"/>
    <w:rsid w:val="00257D17"/>
    <w:rsid w:val="00270CEC"/>
    <w:rsid w:val="00272EAD"/>
    <w:rsid w:val="0028441C"/>
    <w:rsid w:val="00292943"/>
    <w:rsid w:val="00295F9D"/>
    <w:rsid w:val="0029680F"/>
    <w:rsid w:val="002A2F04"/>
    <w:rsid w:val="002A3D22"/>
    <w:rsid w:val="002A720E"/>
    <w:rsid w:val="002B2330"/>
    <w:rsid w:val="002B5340"/>
    <w:rsid w:val="002D11F2"/>
    <w:rsid w:val="002D5F2B"/>
    <w:rsid w:val="002E0B43"/>
    <w:rsid w:val="002E14F4"/>
    <w:rsid w:val="002E44B2"/>
    <w:rsid w:val="002E4A90"/>
    <w:rsid w:val="00300CED"/>
    <w:rsid w:val="00302A72"/>
    <w:rsid w:val="003205F5"/>
    <w:rsid w:val="00322FFA"/>
    <w:rsid w:val="0034646D"/>
    <w:rsid w:val="00352101"/>
    <w:rsid w:val="0035240C"/>
    <w:rsid w:val="0036410E"/>
    <w:rsid w:val="00372D1A"/>
    <w:rsid w:val="003752F8"/>
    <w:rsid w:val="00380219"/>
    <w:rsid w:val="00384D3D"/>
    <w:rsid w:val="0039340E"/>
    <w:rsid w:val="00394160"/>
    <w:rsid w:val="0039552C"/>
    <w:rsid w:val="003972BA"/>
    <w:rsid w:val="003A469D"/>
    <w:rsid w:val="003B2B70"/>
    <w:rsid w:val="003C17E3"/>
    <w:rsid w:val="003C56A4"/>
    <w:rsid w:val="003C66FA"/>
    <w:rsid w:val="003C7214"/>
    <w:rsid w:val="003D0268"/>
    <w:rsid w:val="003D659D"/>
    <w:rsid w:val="003E4937"/>
    <w:rsid w:val="003F25D6"/>
    <w:rsid w:val="0040024E"/>
    <w:rsid w:val="00401E19"/>
    <w:rsid w:val="004103F4"/>
    <w:rsid w:val="004374B8"/>
    <w:rsid w:val="00443521"/>
    <w:rsid w:val="00443BBD"/>
    <w:rsid w:val="004466CD"/>
    <w:rsid w:val="00451826"/>
    <w:rsid w:val="00451D52"/>
    <w:rsid w:val="00464875"/>
    <w:rsid w:val="00466D25"/>
    <w:rsid w:val="004731E8"/>
    <w:rsid w:val="0047542A"/>
    <w:rsid w:val="00475E2D"/>
    <w:rsid w:val="004779EE"/>
    <w:rsid w:val="004A0104"/>
    <w:rsid w:val="004B0361"/>
    <w:rsid w:val="004B6654"/>
    <w:rsid w:val="004B71D2"/>
    <w:rsid w:val="004C2873"/>
    <w:rsid w:val="004D3115"/>
    <w:rsid w:val="004D7F44"/>
    <w:rsid w:val="004E00B4"/>
    <w:rsid w:val="004E3606"/>
    <w:rsid w:val="004E42FD"/>
    <w:rsid w:val="00522A1B"/>
    <w:rsid w:val="005330C7"/>
    <w:rsid w:val="005346FF"/>
    <w:rsid w:val="00537D6E"/>
    <w:rsid w:val="0054208F"/>
    <w:rsid w:val="0055605A"/>
    <w:rsid w:val="0056017D"/>
    <w:rsid w:val="00562AE2"/>
    <w:rsid w:val="005833A4"/>
    <w:rsid w:val="0058365F"/>
    <w:rsid w:val="00597AF9"/>
    <w:rsid w:val="005A4D35"/>
    <w:rsid w:val="005A5E28"/>
    <w:rsid w:val="005B1CA1"/>
    <w:rsid w:val="005C169B"/>
    <w:rsid w:val="005C441B"/>
    <w:rsid w:val="005C7B38"/>
    <w:rsid w:val="005D0CB0"/>
    <w:rsid w:val="005D16F4"/>
    <w:rsid w:val="005D1FB3"/>
    <w:rsid w:val="005D2310"/>
    <w:rsid w:val="005D270D"/>
    <w:rsid w:val="005D29E7"/>
    <w:rsid w:val="005D7224"/>
    <w:rsid w:val="005E1247"/>
    <w:rsid w:val="005E65EA"/>
    <w:rsid w:val="005F043F"/>
    <w:rsid w:val="00606D98"/>
    <w:rsid w:val="00607FC4"/>
    <w:rsid w:val="00610E8F"/>
    <w:rsid w:val="006149CE"/>
    <w:rsid w:val="00620DB0"/>
    <w:rsid w:val="006221E0"/>
    <w:rsid w:val="00622462"/>
    <w:rsid w:val="0063017E"/>
    <w:rsid w:val="00631966"/>
    <w:rsid w:val="00631A0A"/>
    <w:rsid w:val="0063209B"/>
    <w:rsid w:val="0063460F"/>
    <w:rsid w:val="00644D29"/>
    <w:rsid w:val="006601A8"/>
    <w:rsid w:val="006615F0"/>
    <w:rsid w:val="0067157A"/>
    <w:rsid w:val="00675C1B"/>
    <w:rsid w:val="0068191C"/>
    <w:rsid w:val="0068795A"/>
    <w:rsid w:val="00687B1F"/>
    <w:rsid w:val="006B016D"/>
    <w:rsid w:val="006B4AD7"/>
    <w:rsid w:val="006F6A14"/>
    <w:rsid w:val="00713FB9"/>
    <w:rsid w:val="00714E4E"/>
    <w:rsid w:val="007327D0"/>
    <w:rsid w:val="007371F6"/>
    <w:rsid w:val="0074023F"/>
    <w:rsid w:val="00744E17"/>
    <w:rsid w:val="0074769A"/>
    <w:rsid w:val="00757E76"/>
    <w:rsid w:val="00763627"/>
    <w:rsid w:val="0077262C"/>
    <w:rsid w:val="007733A8"/>
    <w:rsid w:val="0077793F"/>
    <w:rsid w:val="00785A52"/>
    <w:rsid w:val="007932E9"/>
    <w:rsid w:val="00793422"/>
    <w:rsid w:val="007A55A9"/>
    <w:rsid w:val="007A5995"/>
    <w:rsid w:val="007B39D8"/>
    <w:rsid w:val="007B5EFC"/>
    <w:rsid w:val="007B6BB7"/>
    <w:rsid w:val="007C5F98"/>
    <w:rsid w:val="007C6014"/>
    <w:rsid w:val="007D4FD0"/>
    <w:rsid w:val="007E56B3"/>
    <w:rsid w:val="0081430B"/>
    <w:rsid w:val="008419B4"/>
    <w:rsid w:val="008512FD"/>
    <w:rsid w:val="00854141"/>
    <w:rsid w:val="00854C31"/>
    <w:rsid w:val="0087221F"/>
    <w:rsid w:val="00873ADD"/>
    <w:rsid w:val="00876394"/>
    <w:rsid w:val="00887A68"/>
    <w:rsid w:val="00896911"/>
    <w:rsid w:val="008C49AA"/>
    <w:rsid w:val="008C5DEA"/>
    <w:rsid w:val="008D13A5"/>
    <w:rsid w:val="008E39F5"/>
    <w:rsid w:val="008E7910"/>
    <w:rsid w:val="00900CAB"/>
    <w:rsid w:val="00905A75"/>
    <w:rsid w:val="00906348"/>
    <w:rsid w:val="00915FCB"/>
    <w:rsid w:val="0092140F"/>
    <w:rsid w:val="009323A7"/>
    <w:rsid w:val="00934B3B"/>
    <w:rsid w:val="00952CA8"/>
    <w:rsid w:val="00954FCE"/>
    <w:rsid w:val="00971626"/>
    <w:rsid w:val="00972DBE"/>
    <w:rsid w:val="00982DCA"/>
    <w:rsid w:val="009837CC"/>
    <w:rsid w:val="009872E6"/>
    <w:rsid w:val="00991458"/>
    <w:rsid w:val="009919E0"/>
    <w:rsid w:val="00993585"/>
    <w:rsid w:val="009A228F"/>
    <w:rsid w:val="009B3C65"/>
    <w:rsid w:val="009C1674"/>
    <w:rsid w:val="009C26A3"/>
    <w:rsid w:val="009C52A3"/>
    <w:rsid w:val="009D639F"/>
    <w:rsid w:val="009E2C80"/>
    <w:rsid w:val="009F5D7E"/>
    <w:rsid w:val="00A00E97"/>
    <w:rsid w:val="00A014A2"/>
    <w:rsid w:val="00A024D0"/>
    <w:rsid w:val="00A079F1"/>
    <w:rsid w:val="00A176AF"/>
    <w:rsid w:val="00A267A7"/>
    <w:rsid w:val="00A361C9"/>
    <w:rsid w:val="00A433D3"/>
    <w:rsid w:val="00A46485"/>
    <w:rsid w:val="00A65CB6"/>
    <w:rsid w:val="00A76894"/>
    <w:rsid w:val="00A81202"/>
    <w:rsid w:val="00A842AB"/>
    <w:rsid w:val="00A84F8C"/>
    <w:rsid w:val="00A857FB"/>
    <w:rsid w:val="00A85DB4"/>
    <w:rsid w:val="00A86B98"/>
    <w:rsid w:val="00A92485"/>
    <w:rsid w:val="00A966C5"/>
    <w:rsid w:val="00AA18C8"/>
    <w:rsid w:val="00AB67D3"/>
    <w:rsid w:val="00AB7C27"/>
    <w:rsid w:val="00AE69A3"/>
    <w:rsid w:val="00AF47D5"/>
    <w:rsid w:val="00B0027C"/>
    <w:rsid w:val="00B052F9"/>
    <w:rsid w:val="00B11A26"/>
    <w:rsid w:val="00B2237A"/>
    <w:rsid w:val="00B275F5"/>
    <w:rsid w:val="00B36EC2"/>
    <w:rsid w:val="00B43D24"/>
    <w:rsid w:val="00B455D3"/>
    <w:rsid w:val="00B505B6"/>
    <w:rsid w:val="00B50751"/>
    <w:rsid w:val="00B53A71"/>
    <w:rsid w:val="00B64376"/>
    <w:rsid w:val="00B6706C"/>
    <w:rsid w:val="00B873D9"/>
    <w:rsid w:val="00B90B66"/>
    <w:rsid w:val="00B912E1"/>
    <w:rsid w:val="00B94049"/>
    <w:rsid w:val="00B976A7"/>
    <w:rsid w:val="00BA013D"/>
    <w:rsid w:val="00BA2FAC"/>
    <w:rsid w:val="00BA3C10"/>
    <w:rsid w:val="00BB339D"/>
    <w:rsid w:val="00BB4E7A"/>
    <w:rsid w:val="00BC4EB7"/>
    <w:rsid w:val="00BC55C4"/>
    <w:rsid w:val="00BC5CC4"/>
    <w:rsid w:val="00BC7B9F"/>
    <w:rsid w:val="00BD3547"/>
    <w:rsid w:val="00BD557C"/>
    <w:rsid w:val="00BD6F6E"/>
    <w:rsid w:val="00BE0122"/>
    <w:rsid w:val="00BE7026"/>
    <w:rsid w:val="00BF4BF9"/>
    <w:rsid w:val="00C161A8"/>
    <w:rsid w:val="00C22C03"/>
    <w:rsid w:val="00C266CD"/>
    <w:rsid w:val="00C40069"/>
    <w:rsid w:val="00C4038C"/>
    <w:rsid w:val="00C6510E"/>
    <w:rsid w:val="00C66E5F"/>
    <w:rsid w:val="00C74AAE"/>
    <w:rsid w:val="00C74C11"/>
    <w:rsid w:val="00C74C72"/>
    <w:rsid w:val="00C77000"/>
    <w:rsid w:val="00C877F5"/>
    <w:rsid w:val="00CB02CC"/>
    <w:rsid w:val="00CB3B53"/>
    <w:rsid w:val="00CD2F0E"/>
    <w:rsid w:val="00CD679A"/>
    <w:rsid w:val="00CE1DAC"/>
    <w:rsid w:val="00CE5B45"/>
    <w:rsid w:val="00D013AB"/>
    <w:rsid w:val="00D13D88"/>
    <w:rsid w:val="00D203D1"/>
    <w:rsid w:val="00D207CF"/>
    <w:rsid w:val="00D21F16"/>
    <w:rsid w:val="00D32159"/>
    <w:rsid w:val="00D33067"/>
    <w:rsid w:val="00D347C7"/>
    <w:rsid w:val="00D36E5E"/>
    <w:rsid w:val="00D45E6D"/>
    <w:rsid w:val="00D51149"/>
    <w:rsid w:val="00D51728"/>
    <w:rsid w:val="00D5262E"/>
    <w:rsid w:val="00D558BB"/>
    <w:rsid w:val="00D57E3D"/>
    <w:rsid w:val="00D57F19"/>
    <w:rsid w:val="00D628B1"/>
    <w:rsid w:val="00D7071E"/>
    <w:rsid w:val="00D71849"/>
    <w:rsid w:val="00D71B2C"/>
    <w:rsid w:val="00D7400C"/>
    <w:rsid w:val="00D76A5C"/>
    <w:rsid w:val="00D8549A"/>
    <w:rsid w:val="00D862D8"/>
    <w:rsid w:val="00DA108A"/>
    <w:rsid w:val="00DB41BE"/>
    <w:rsid w:val="00DB5BAD"/>
    <w:rsid w:val="00DC1B6D"/>
    <w:rsid w:val="00DC6495"/>
    <w:rsid w:val="00DD05DE"/>
    <w:rsid w:val="00DD3BE9"/>
    <w:rsid w:val="00DF2550"/>
    <w:rsid w:val="00DF3B65"/>
    <w:rsid w:val="00E01E9D"/>
    <w:rsid w:val="00E07DC1"/>
    <w:rsid w:val="00E13B54"/>
    <w:rsid w:val="00E13CE5"/>
    <w:rsid w:val="00E140A4"/>
    <w:rsid w:val="00E35EFD"/>
    <w:rsid w:val="00E4008A"/>
    <w:rsid w:val="00E473C8"/>
    <w:rsid w:val="00E47866"/>
    <w:rsid w:val="00E50C43"/>
    <w:rsid w:val="00E52718"/>
    <w:rsid w:val="00E61CC1"/>
    <w:rsid w:val="00E63919"/>
    <w:rsid w:val="00E82914"/>
    <w:rsid w:val="00E84BB9"/>
    <w:rsid w:val="00E8552D"/>
    <w:rsid w:val="00E856E0"/>
    <w:rsid w:val="00E97400"/>
    <w:rsid w:val="00EC6978"/>
    <w:rsid w:val="00ED1EE0"/>
    <w:rsid w:val="00ED22B0"/>
    <w:rsid w:val="00EF4CAE"/>
    <w:rsid w:val="00F04996"/>
    <w:rsid w:val="00F14985"/>
    <w:rsid w:val="00F16368"/>
    <w:rsid w:val="00F24E82"/>
    <w:rsid w:val="00F2616C"/>
    <w:rsid w:val="00F33517"/>
    <w:rsid w:val="00F350A6"/>
    <w:rsid w:val="00F37076"/>
    <w:rsid w:val="00F44F33"/>
    <w:rsid w:val="00F64070"/>
    <w:rsid w:val="00F71D2C"/>
    <w:rsid w:val="00F74385"/>
    <w:rsid w:val="00F84D41"/>
    <w:rsid w:val="00F85398"/>
    <w:rsid w:val="00FA37FB"/>
    <w:rsid w:val="00FB2968"/>
    <w:rsid w:val="00FB52FB"/>
    <w:rsid w:val="00FC182A"/>
    <w:rsid w:val="00FC42B9"/>
    <w:rsid w:val="00FC4EB2"/>
    <w:rsid w:val="00FD0F9E"/>
    <w:rsid w:val="00FD5080"/>
    <w:rsid w:val="00FD6765"/>
    <w:rsid w:val="00FE2A8D"/>
    <w:rsid w:val="00FE3A08"/>
    <w:rsid w:val="00FE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8C63"/>
  <w15:docId w15:val="{1C6DFD23-C8A8-452C-BA51-B6AE783A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FD0"/>
    <w:rPr>
      <w:rFonts w:ascii="Calibri" w:eastAsia="Calibri" w:hAnsi="Calibri" w:cs="Times New Roman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0751"/>
    <w:pPr>
      <w:spacing w:after="0" w:line="240" w:lineRule="auto"/>
    </w:pPr>
    <w:rPr>
      <w:rFonts w:ascii="Calibri" w:eastAsia="Calibri" w:hAnsi="Calibri" w:cs="Times New Roman"/>
      <w:lang w:val="cs-CZ"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E97"/>
    <w:rPr>
      <w:rFonts w:ascii="Tahoma" w:eastAsia="Calibri" w:hAnsi="Tahoma" w:cs="Tahoma"/>
      <w:sz w:val="16"/>
      <w:szCs w:val="16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29479">
          <w:marLeft w:val="64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630">
          <w:marLeft w:val="64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563CE-4493-4C97-8A1D-DCE67423AEBF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customXml/itemProps2.xml><?xml version="1.0" encoding="utf-8"?>
<ds:datastoreItem xmlns:ds="http://schemas.openxmlformats.org/officeDocument/2006/customXml" ds:itemID="{BCA116F0-EE7D-44F6-8736-E01F17563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B2F987-4D5F-45B6-8BFC-F883FD870F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1391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Bartośová Kristýna</cp:lastModifiedBy>
  <cp:revision>6</cp:revision>
  <dcterms:created xsi:type="dcterms:W3CDTF">2025-07-14T13:37:00Z</dcterms:created>
  <dcterms:modified xsi:type="dcterms:W3CDTF">2025-09-05T07:19:00Z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MediaServiceImageTags">
    <vt:lpwstr/>
  </property>
</Properties>
</file>